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7D5E" w:rsidRDefault="00607D5E" w:rsidP="00897901">
      <w:pPr>
        <w:spacing w:after="0" w:line="480" w:lineRule="auto"/>
        <w:jc w:val="center"/>
        <w:rPr>
          <w:rFonts w:ascii="Times New Roman" w:hAnsi="Times New Roman" w:cs="Times New Roman"/>
          <w:sz w:val="24"/>
          <w:szCs w:val="24"/>
        </w:rPr>
      </w:pPr>
    </w:p>
    <w:p w:rsidR="00607D5E" w:rsidRDefault="00607D5E" w:rsidP="00897901">
      <w:pPr>
        <w:spacing w:after="0" w:line="480" w:lineRule="auto"/>
        <w:jc w:val="center"/>
        <w:rPr>
          <w:rFonts w:ascii="Times New Roman" w:hAnsi="Times New Roman" w:cs="Times New Roman"/>
          <w:sz w:val="24"/>
          <w:szCs w:val="24"/>
        </w:rPr>
      </w:pPr>
    </w:p>
    <w:p w:rsidR="00607D5E" w:rsidRDefault="00607D5E" w:rsidP="00897901">
      <w:pPr>
        <w:spacing w:after="0" w:line="480" w:lineRule="auto"/>
        <w:jc w:val="center"/>
        <w:rPr>
          <w:rFonts w:ascii="Times New Roman" w:hAnsi="Times New Roman" w:cs="Times New Roman"/>
          <w:sz w:val="24"/>
          <w:szCs w:val="24"/>
        </w:rPr>
      </w:pPr>
    </w:p>
    <w:p w:rsidR="00607D5E" w:rsidRDefault="00607D5E" w:rsidP="00897901">
      <w:pPr>
        <w:spacing w:after="0" w:line="480" w:lineRule="auto"/>
        <w:jc w:val="center"/>
        <w:rPr>
          <w:rFonts w:ascii="Times New Roman" w:hAnsi="Times New Roman" w:cs="Times New Roman"/>
          <w:sz w:val="24"/>
          <w:szCs w:val="24"/>
        </w:rPr>
      </w:pPr>
    </w:p>
    <w:p w:rsidR="00607D5E" w:rsidRDefault="00607D5E" w:rsidP="00897901">
      <w:pPr>
        <w:spacing w:after="0" w:line="480" w:lineRule="auto"/>
        <w:jc w:val="center"/>
        <w:rPr>
          <w:rFonts w:ascii="Times New Roman" w:hAnsi="Times New Roman" w:cs="Times New Roman"/>
          <w:sz w:val="24"/>
          <w:szCs w:val="24"/>
        </w:rPr>
      </w:pPr>
    </w:p>
    <w:p w:rsidR="00897901" w:rsidRDefault="00897901" w:rsidP="00897901">
      <w:pPr>
        <w:spacing w:after="0" w:line="480" w:lineRule="auto"/>
        <w:jc w:val="center"/>
        <w:rPr>
          <w:rFonts w:ascii="Times New Roman" w:hAnsi="Times New Roman" w:cs="Times New Roman"/>
          <w:sz w:val="24"/>
          <w:szCs w:val="24"/>
        </w:rPr>
      </w:pPr>
    </w:p>
    <w:p w:rsidR="00897901" w:rsidRDefault="00897901" w:rsidP="00897901">
      <w:pPr>
        <w:spacing w:after="0" w:line="480" w:lineRule="auto"/>
        <w:jc w:val="center"/>
        <w:rPr>
          <w:rFonts w:ascii="Times New Roman" w:hAnsi="Times New Roman" w:cs="Times New Roman"/>
          <w:sz w:val="24"/>
          <w:szCs w:val="24"/>
        </w:rPr>
      </w:pPr>
    </w:p>
    <w:p w:rsidR="00607D5E" w:rsidRDefault="00607D5E" w:rsidP="00897901">
      <w:pPr>
        <w:spacing w:after="0" w:line="480" w:lineRule="auto"/>
        <w:jc w:val="center"/>
        <w:rPr>
          <w:rFonts w:ascii="Times New Roman" w:hAnsi="Times New Roman" w:cs="Times New Roman"/>
          <w:sz w:val="24"/>
          <w:szCs w:val="24"/>
        </w:rPr>
      </w:pPr>
    </w:p>
    <w:p w:rsidR="00607D5E" w:rsidRDefault="00607D5E" w:rsidP="00897901">
      <w:pPr>
        <w:spacing w:after="0" w:line="480" w:lineRule="auto"/>
        <w:jc w:val="center"/>
        <w:rPr>
          <w:rFonts w:ascii="Times New Roman" w:hAnsi="Times New Roman" w:cs="Times New Roman"/>
          <w:sz w:val="24"/>
          <w:szCs w:val="24"/>
        </w:rPr>
      </w:pPr>
    </w:p>
    <w:p w:rsidR="00897901" w:rsidRPr="00607D5E" w:rsidRDefault="00897901" w:rsidP="00897901">
      <w:pPr>
        <w:spacing w:after="0" w:line="480" w:lineRule="auto"/>
        <w:jc w:val="center"/>
        <w:rPr>
          <w:rFonts w:ascii="Times New Roman" w:hAnsi="Times New Roman" w:cs="Times New Roman"/>
          <w:sz w:val="24"/>
          <w:szCs w:val="24"/>
        </w:rPr>
      </w:pPr>
      <w:bookmarkStart w:id="0" w:name="_GoBack"/>
      <w:r w:rsidRPr="00607D5E">
        <w:rPr>
          <w:rFonts w:ascii="Times New Roman" w:hAnsi="Times New Roman" w:cs="Times New Roman"/>
          <w:sz w:val="24"/>
          <w:szCs w:val="24"/>
        </w:rPr>
        <w:t>Financial Management Discussion</w:t>
      </w:r>
    </w:p>
    <w:bookmarkEnd w:id="0"/>
    <w:p w:rsidR="00607D5E" w:rsidRDefault="00607D5E" w:rsidP="008979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07D5E" w:rsidRPr="00607D5E" w:rsidRDefault="00607D5E" w:rsidP="008979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07D5E" w:rsidRDefault="00607D5E" w:rsidP="00897901">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786953" w:rsidRPr="00607D5E" w:rsidRDefault="00607D5E" w:rsidP="00897901">
      <w:pPr>
        <w:spacing w:after="0" w:line="480" w:lineRule="auto"/>
        <w:jc w:val="center"/>
        <w:rPr>
          <w:rFonts w:ascii="Times New Roman" w:hAnsi="Times New Roman" w:cs="Times New Roman"/>
          <w:sz w:val="24"/>
          <w:szCs w:val="24"/>
        </w:rPr>
      </w:pPr>
      <w:r w:rsidRPr="00607D5E">
        <w:rPr>
          <w:rFonts w:ascii="Times New Roman" w:hAnsi="Times New Roman" w:cs="Times New Roman"/>
          <w:sz w:val="24"/>
          <w:szCs w:val="24"/>
        </w:rPr>
        <w:lastRenderedPageBreak/>
        <w:t xml:space="preserve">Financial </w:t>
      </w:r>
      <w:r w:rsidR="00897901" w:rsidRPr="00607D5E">
        <w:rPr>
          <w:rFonts w:ascii="Times New Roman" w:hAnsi="Times New Roman" w:cs="Times New Roman"/>
          <w:sz w:val="24"/>
          <w:szCs w:val="24"/>
        </w:rPr>
        <w:t>Management Discussion</w:t>
      </w:r>
    </w:p>
    <w:p w:rsidR="00CB6409" w:rsidRPr="00CB6409" w:rsidRDefault="00CB6409" w:rsidP="00897901">
      <w:pPr>
        <w:spacing w:after="0" w:line="480" w:lineRule="auto"/>
        <w:ind w:firstLine="720"/>
        <w:jc w:val="both"/>
        <w:rPr>
          <w:rFonts w:ascii="Times New Roman" w:hAnsi="Times New Roman" w:cs="Times New Roman"/>
          <w:sz w:val="24"/>
          <w:szCs w:val="24"/>
        </w:rPr>
      </w:pPr>
      <w:r w:rsidRPr="00CB6409">
        <w:rPr>
          <w:rFonts w:ascii="Times New Roman" w:hAnsi="Times New Roman" w:cs="Times New Roman"/>
          <w:sz w:val="24"/>
          <w:szCs w:val="24"/>
        </w:rPr>
        <w:t xml:space="preserve">A sensitivity analysis is conducted by changing some factors used in a potential investment to see how the changes would affect the entire venture. The volume of sales that a firm </w:t>
      </w:r>
      <w:r w:rsidR="00897901" w:rsidRPr="00CB6409">
        <w:rPr>
          <w:rFonts w:ascii="Times New Roman" w:hAnsi="Times New Roman" w:cs="Times New Roman"/>
          <w:sz w:val="24"/>
          <w:szCs w:val="24"/>
        </w:rPr>
        <w:t>produce</w:t>
      </w:r>
      <w:r w:rsidRPr="00CB6409">
        <w:rPr>
          <w:rFonts w:ascii="Times New Roman" w:hAnsi="Times New Roman" w:cs="Times New Roman"/>
          <w:sz w:val="24"/>
          <w:szCs w:val="24"/>
        </w:rPr>
        <w:t xml:space="preserve"> can be changed as the primary variable. The investors can also alter with the existing or aspired interest rates to see the effect of any variations. Scenario analysis is an act of combining several sensitivity analyses</w:t>
      </w:r>
      <w:r w:rsidR="00897901">
        <w:rPr>
          <w:rFonts w:ascii="Times New Roman" w:hAnsi="Times New Roman" w:cs="Times New Roman"/>
          <w:sz w:val="24"/>
          <w:szCs w:val="24"/>
        </w:rPr>
        <w:t xml:space="preserve"> (</w:t>
      </w:r>
      <w:proofErr w:type="spellStart"/>
      <w:r w:rsidR="00897901">
        <w:rPr>
          <w:rFonts w:ascii="Times New Roman" w:eastAsia="Times New Roman" w:hAnsi="Times New Roman" w:cs="Times New Roman"/>
          <w:sz w:val="24"/>
          <w:szCs w:val="24"/>
        </w:rPr>
        <w:t>Halling</w:t>
      </w:r>
      <w:proofErr w:type="spellEnd"/>
      <w:r w:rsidR="00897901">
        <w:rPr>
          <w:rFonts w:ascii="Times New Roman" w:eastAsia="Times New Roman" w:hAnsi="Times New Roman" w:cs="Times New Roman"/>
          <w:sz w:val="24"/>
          <w:szCs w:val="24"/>
        </w:rPr>
        <w:t xml:space="preserve"> </w:t>
      </w:r>
      <w:r w:rsidR="00897901" w:rsidRPr="00897901">
        <w:rPr>
          <w:rFonts w:ascii="Times New Roman" w:eastAsia="Times New Roman" w:hAnsi="Times New Roman" w:cs="Times New Roman"/>
          <w:sz w:val="24"/>
          <w:szCs w:val="24"/>
        </w:rPr>
        <w:t xml:space="preserve">&amp; </w:t>
      </w:r>
      <w:proofErr w:type="spellStart"/>
      <w:r w:rsidR="00897901" w:rsidRPr="00897901">
        <w:rPr>
          <w:rFonts w:ascii="Times New Roman" w:eastAsia="Times New Roman" w:hAnsi="Times New Roman" w:cs="Times New Roman"/>
          <w:sz w:val="24"/>
          <w:szCs w:val="24"/>
        </w:rPr>
        <w:t>Zechner</w:t>
      </w:r>
      <w:proofErr w:type="spellEnd"/>
      <w:r w:rsidR="00897901" w:rsidRPr="00897901">
        <w:rPr>
          <w:rFonts w:ascii="Times New Roman" w:eastAsia="Times New Roman" w:hAnsi="Times New Roman" w:cs="Times New Roman"/>
          <w:sz w:val="24"/>
          <w:szCs w:val="24"/>
        </w:rPr>
        <w:t>, 2016)</w:t>
      </w:r>
      <w:r w:rsidRPr="00CB6409">
        <w:rPr>
          <w:rFonts w:ascii="Times New Roman" w:hAnsi="Times New Roman" w:cs="Times New Roman"/>
          <w:sz w:val="24"/>
          <w:szCs w:val="24"/>
        </w:rPr>
        <w:t>. In this type of analysis investor outline some variables that are likely to interfere with the firm’s primary financial position and make plans. For example, a sensitivity analysis can provide details of the revenue of a firm in specific, while a scenario may give detailed information about the overall cash</w:t>
      </w:r>
      <w:r w:rsidR="00350B20">
        <w:rPr>
          <w:rFonts w:ascii="Times New Roman" w:hAnsi="Times New Roman" w:cs="Times New Roman"/>
          <w:sz w:val="24"/>
          <w:szCs w:val="24"/>
        </w:rPr>
        <w:t xml:space="preserve"> </w:t>
      </w:r>
      <w:r w:rsidRPr="00CB6409">
        <w:rPr>
          <w:rFonts w:ascii="Times New Roman" w:hAnsi="Times New Roman" w:cs="Times New Roman"/>
          <w:sz w:val="24"/>
          <w:szCs w:val="24"/>
        </w:rPr>
        <w:t>flow of a company.</w:t>
      </w:r>
    </w:p>
    <w:p w:rsidR="00CB6409" w:rsidRPr="00CB6409" w:rsidRDefault="00CB6409" w:rsidP="00897901">
      <w:pPr>
        <w:spacing w:after="0" w:line="480" w:lineRule="auto"/>
        <w:ind w:firstLine="720"/>
        <w:jc w:val="both"/>
        <w:rPr>
          <w:rFonts w:ascii="Times New Roman" w:hAnsi="Times New Roman" w:cs="Times New Roman"/>
          <w:sz w:val="24"/>
          <w:szCs w:val="24"/>
        </w:rPr>
      </w:pPr>
      <w:r w:rsidRPr="00CB6409">
        <w:rPr>
          <w:rFonts w:ascii="Times New Roman" w:hAnsi="Times New Roman" w:cs="Times New Roman"/>
          <w:sz w:val="24"/>
          <w:szCs w:val="24"/>
        </w:rPr>
        <w:t>Both analyses are used to evaluate the most suitable investment when doing capital budgeting. As sensitivity analysis provides an idea of a risk associated with a particular variable, scenario analysis offers insights into different uncertainty</w:t>
      </w:r>
      <w:r w:rsidR="00350B20">
        <w:rPr>
          <w:rFonts w:ascii="Times New Roman" w:hAnsi="Times New Roman" w:cs="Times New Roman"/>
          <w:sz w:val="24"/>
          <w:szCs w:val="24"/>
        </w:rPr>
        <w:t xml:space="preserve"> (</w:t>
      </w:r>
      <w:proofErr w:type="spellStart"/>
      <w:r w:rsidR="00350B20" w:rsidRPr="00350B20">
        <w:rPr>
          <w:rFonts w:ascii="Times New Roman" w:hAnsi="Times New Roman" w:cs="Times New Roman"/>
          <w:color w:val="222222"/>
          <w:sz w:val="24"/>
          <w:szCs w:val="24"/>
          <w:shd w:val="clear" w:color="auto" w:fill="FFFFFF"/>
        </w:rPr>
        <w:t>Bhattacharjee</w:t>
      </w:r>
      <w:proofErr w:type="spellEnd"/>
      <w:r w:rsidR="00350B20" w:rsidRPr="00350B20">
        <w:rPr>
          <w:rFonts w:ascii="Times New Roman" w:hAnsi="Times New Roman" w:cs="Times New Roman"/>
          <w:color w:val="222222"/>
          <w:sz w:val="24"/>
          <w:szCs w:val="24"/>
          <w:shd w:val="clear" w:color="auto" w:fill="FFFFFF"/>
        </w:rPr>
        <w:t>, 2015</w:t>
      </w:r>
      <w:r w:rsidR="00350B20">
        <w:rPr>
          <w:rFonts w:ascii="Arial" w:hAnsi="Arial" w:cs="Arial"/>
          <w:color w:val="222222"/>
          <w:sz w:val="20"/>
          <w:szCs w:val="20"/>
          <w:shd w:val="clear" w:color="auto" w:fill="FFFFFF"/>
        </w:rPr>
        <w:t>)</w:t>
      </w:r>
      <w:r w:rsidRPr="00CB6409">
        <w:rPr>
          <w:rFonts w:ascii="Times New Roman" w:hAnsi="Times New Roman" w:cs="Times New Roman"/>
          <w:sz w:val="24"/>
          <w:szCs w:val="24"/>
        </w:rPr>
        <w:t>. In some cases, investors combine both types of analysis to evaluate different investments.</w:t>
      </w:r>
    </w:p>
    <w:p w:rsidR="00CB6409" w:rsidRPr="00CB6409" w:rsidRDefault="00CB6409" w:rsidP="00897901">
      <w:pPr>
        <w:spacing w:after="0" w:line="480" w:lineRule="auto"/>
        <w:ind w:firstLine="720"/>
        <w:jc w:val="both"/>
        <w:rPr>
          <w:rFonts w:ascii="Times New Roman" w:hAnsi="Times New Roman" w:cs="Times New Roman"/>
          <w:sz w:val="24"/>
          <w:szCs w:val="24"/>
        </w:rPr>
      </w:pPr>
      <w:r w:rsidRPr="00CB6409">
        <w:rPr>
          <w:rFonts w:ascii="Times New Roman" w:hAnsi="Times New Roman" w:cs="Times New Roman"/>
          <w:sz w:val="24"/>
          <w:szCs w:val="24"/>
        </w:rPr>
        <w:t>Operating leverage is a method used in cost-accounting to measure to what extent a firm can raise the rate of operating income through the increase of revenue. High operating leverage occurs when the gross margin of sales in a firm is high, and the variable cost is low. The risks of forecasting cash flows are significant when the rate of operating leverage is high. Small errors are often magnified in the projection of income and expenditure when operating leverage is high</w:t>
      </w:r>
      <w:r w:rsidR="00897901">
        <w:rPr>
          <w:rFonts w:ascii="Times New Roman" w:hAnsi="Times New Roman" w:cs="Times New Roman"/>
          <w:sz w:val="24"/>
          <w:szCs w:val="24"/>
        </w:rPr>
        <w:t xml:space="preserve"> </w:t>
      </w:r>
      <w:r w:rsidR="00897901">
        <w:rPr>
          <w:rFonts w:ascii="Times New Roman" w:hAnsi="Times New Roman" w:cs="Times New Roman"/>
          <w:sz w:val="24"/>
          <w:szCs w:val="24"/>
        </w:rPr>
        <w:t>(</w:t>
      </w:r>
      <w:proofErr w:type="spellStart"/>
      <w:r w:rsidR="00897901" w:rsidRPr="00350B20">
        <w:rPr>
          <w:rFonts w:ascii="Times New Roman" w:hAnsi="Times New Roman" w:cs="Times New Roman"/>
          <w:color w:val="222222"/>
          <w:sz w:val="24"/>
          <w:szCs w:val="24"/>
          <w:shd w:val="clear" w:color="auto" w:fill="FFFFFF"/>
        </w:rPr>
        <w:t>Bhattacharjee</w:t>
      </w:r>
      <w:proofErr w:type="spellEnd"/>
      <w:r w:rsidR="00897901" w:rsidRPr="00350B20">
        <w:rPr>
          <w:rFonts w:ascii="Times New Roman" w:hAnsi="Times New Roman" w:cs="Times New Roman"/>
          <w:color w:val="222222"/>
          <w:sz w:val="24"/>
          <w:szCs w:val="24"/>
          <w:shd w:val="clear" w:color="auto" w:fill="FFFFFF"/>
        </w:rPr>
        <w:t>, 2015</w:t>
      </w:r>
      <w:r w:rsidR="00897901">
        <w:rPr>
          <w:rFonts w:ascii="Arial" w:hAnsi="Arial" w:cs="Arial"/>
          <w:color w:val="222222"/>
          <w:sz w:val="20"/>
          <w:szCs w:val="20"/>
          <w:shd w:val="clear" w:color="auto" w:fill="FFFFFF"/>
        </w:rPr>
        <w:t>)</w:t>
      </w:r>
      <w:r w:rsidRPr="00CB6409">
        <w:rPr>
          <w:rFonts w:ascii="Times New Roman" w:hAnsi="Times New Roman" w:cs="Times New Roman"/>
          <w:sz w:val="24"/>
          <w:szCs w:val="24"/>
        </w:rPr>
        <w:t>. Firms that have significant operating leverage make more revenue when any additional sale is made if the cost of production is constant.</w:t>
      </w:r>
    </w:p>
    <w:p w:rsidR="00CB6409" w:rsidRDefault="00CB6409" w:rsidP="00897901">
      <w:pPr>
        <w:spacing w:after="0" w:line="480" w:lineRule="auto"/>
        <w:ind w:firstLine="720"/>
        <w:jc w:val="both"/>
        <w:rPr>
          <w:rFonts w:ascii="Times New Roman" w:hAnsi="Times New Roman" w:cs="Times New Roman"/>
          <w:sz w:val="24"/>
          <w:szCs w:val="24"/>
        </w:rPr>
      </w:pPr>
      <w:r w:rsidRPr="00CB6409">
        <w:rPr>
          <w:rFonts w:ascii="Times New Roman" w:hAnsi="Times New Roman" w:cs="Times New Roman"/>
          <w:sz w:val="24"/>
          <w:szCs w:val="24"/>
        </w:rPr>
        <w:t xml:space="preserve">When a high degree of operating leverage is positive, the total cost of a firm contains a large portion of the fixed value. In this case, small growth in total sales results in significantly high </w:t>
      </w:r>
      <w:r w:rsidRPr="00CB6409">
        <w:rPr>
          <w:rFonts w:ascii="Times New Roman" w:hAnsi="Times New Roman" w:cs="Times New Roman"/>
          <w:sz w:val="24"/>
          <w:szCs w:val="24"/>
        </w:rPr>
        <w:lastRenderedPageBreak/>
        <w:t>income. Negative operating leverage occurs when there is a reduction in sales, yet fixed cost occupies the greatest potion in the overall cost structure of a firm.</w:t>
      </w:r>
    </w:p>
    <w:p w:rsidR="00897901" w:rsidRDefault="00897901">
      <w:pPr>
        <w:rPr>
          <w:rFonts w:ascii="Times New Roman" w:hAnsi="Times New Roman" w:cs="Times New Roman"/>
          <w:sz w:val="24"/>
          <w:szCs w:val="24"/>
        </w:rPr>
      </w:pPr>
      <w:r>
        <w:rPr>
          <w:rFonts w:ascii="Times New Roman" w:hAnsi="Times New Roman" w:cs="Times New Roman"/>
          <w:sz w:val="24"/>
          <w:szCs w:val="24"/>
        </w:rPr>
        <w:br w:type="page"/>
      </w:r>
    </w:p>
    <w:p w:rsidR="00607D5E" w:rsidRDefault="00607D5E" w:rsidP="0089790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50B20" w:rsidRDefault="00350B20" w:rsidP="00897901">
      <w:pPr>
        <w:spacing w:after="0" w:line="480" w:lineRule="auto"/>
        <w:ind w:left="1440" w:hanging="1440"/>
        <w:rPr>
          <w:rFonts w:ascii="Times New Roman" w:hAnsi="Times New Roman" w:cs="Times New Roman"/>
          <w:color w:val="222222"/>
          <w:sz w:val="24"/>
          <w:szCs w:val="24"/>
          <w:shd w:val="clear" w:color="auto" w:fill="FFFFFF"/>
        </w:rPr>
      </w:pPr>
      <w:proofErr w:type="spellStart"/>
      <w:r w:rsidRPr="00350B20">
        <w:rPr>
          <w:rFonts w:ascii="Times New Roman" w:hAnsi="Times New Roman" w:cs="Times New Roman"/>
          <w:color w:val="222222"/>
          <w:sz w:val="24"/>
          <w:szCs w:val="24"/>
          <w:shd w:val="clear" w:color="auto" w:fill="FFFFFF"/>
        </w:rPr>
        <w:t>Bhattacharjee</w:t>
      </w:r>
      <w:proofErr w:type="spellEnd"/>
      <w:r w:rsidRPr="00350B20">
        <w:rPr>
          <w:rFonts w:ascii="Times New Roman" w:hAnsi="Times New Roman" w:cs="Times New Roman"/>
          <w:color w:val="222222"/>
          <w:sz w:val="24"/>
          <w:szCs w:val="24"/>
          <w:shd w:val="clear" w:color="auto" w:fill="FFFFFF"/>
        </w:rPr>
        <w:t>, A., Higson, C., &amp; Holly, S. (2015). Operating Leverage over the Business Cycle.</w:t>
      </w:r>
    </w:p>
    <w:p w:rsidR="00897901" w:rsidRPr="00897901" w:rsidRDefault="00897901" w:rsidP="00897901">
      <w:pPr>
        <w:spacing w:after="0" w:line="480" w:lineRule="auto"/>
        <w:ind w:left="1440" w:hanging="1440"/>
        <w:rPr>
          <w:rFonts w:ascii="Times New Roman" w:eastAsia="Times New Roman" w:hAnsi="Times New Roman" w:cs="Times New Roman"/>
          <w:sz w:val="24"/>
          <w:szCs w:val="24"/>
        </w:rPr>
      </w:pPr>
      <w:proofErr w:type="spellStart"/>
      <w:r w:rsidRPr="00897901">
        <w:rPr>
          <w:rFonts w:ascii="Times New Roman" w:eastAsia="Times New Roman" w:hAnsi="Times New Roman" w:cs="Times New Roman"/>
          <w:sz w:val="24"/>
          <w:szCs w:val="24"/>
        </w:rPr>
        <w:t>Halling</w:t>
      </w:r>
      <w:proofErr w:type="spellEnd"/>
      <w:r w:rsidRPr="00897901">
        <w:rPr>
          <w:rFonts w:ascii="Times New Roman" w:eastAsia="Times New Roman" w:hAnsi="Times New Roman" w:cs="Times New Roman"/>
          <w:sz w:val="24"/>
          <w:szCs w:val="24"/>
        </w:rPr>
        <w:t xml:space="preserve">, M., Yu, J., &amp; </w:t>
      </w:r>
      <w:proofErr w:type="spellStart"/>
      <w:r w:rsidRPr="00897901">
        <w:rPr>
          <w:rFonts w:ascii="Times New Roman" w:eastAsia="Times New Roman" w:hAnsi="Times New Roman" w:cs="Times New Roman"/>
          <w:sz w:val="24"/>
          <w:szCs w:val="24"/>
        </w:rPr>
        <w:t>Zechner</w:t>
      </w:r>
      <w:proofErr w:type="spellEnd"/>
      <w:r w:rsidRPr="00897901">
        <w:rPr>
          <w:rFonts w:ascii="Times New Roman" w:eastAsia="Times New Roman" w:hAnsi="Times New Roman" w:cs="Times New Roman"/>
          <w:sz w:val="24"/>
          <w:szCs w:val="24"/>
        </w:rPr>
        <w:t xml:space="preserve">, J. (2016). Leverage dynamics over the business cycle. </w:t>
      </w:r>
      <w:r w:rsidRPr="00897901">
        <w:rPr>
          <w:rFonts w:ascii="Times New Roman" w:eastAsia="Times New Roman" w:hAnsi="Times New Roman" w:cs="Times New Roman"/>
          <w:i/>
          <w:iCs/>
          <w:sz w:val="24"/>
          <w:szCs w:val="24"/>
        </w:rPr>
        <w:t>Journal of Financial Economics</w:t>
      </w:r>
      <w:r w:rsidRPr="00897901">
        <w:rPr>
          <w:rFonts w:ascii="Times New Roman" w:eastAsia="Times New Roman" w:hAnsi="Times New Roman" w:cs="Times New Roman"/>
          <w:sz w:val="24"/>
          <w:szCs w:val="24"/>
        </w:rPr>
        <w:t xml:space="preserve">, </w:t>
      </w:r>
      <w:r w:rsidRPr="00897901">
        <w:rPr>
          <w:rFonts w:ascii="Times New Roman" w:eastAsia="Times New Roman" w:hAnsi="Times New Roman" w:cs="Times New Roman"/>
          <w:i/>
          <w:iCs/>
          <w:sz w:val="24"/>
          <w:szCs w:val="24"/>
        </w:rPr>
        <w:t>122</w:t>
      </w:r>
      <w:r w:rsidRPr="00897901">
        <w:rPr>
          <w:rFonts w:ascii="Times New Roman" w:eastAsia="Times New Roman" w:hAnsi="Times New Roman" w:cs="Times New Roman"/>
          <w:sz w:val="24"/>
          <w:szCs w:val="24"/>
        </w:rPr>
        <w:t>(1), 21-41.</w:t>
      </w:r>
    </w:p>
    <w:p w:rsidR="00897901" w:rsidRPr="00350B20" w:rsidRDefault="00897901" w:rsidP="00897901">
      <w:pPr>
        <w:spacing w:after="0" w:line="480" w:lineRule="auto"/>
        <w:ind w:left="720" w:hanging="720"/>
        <w:rPr>
          <w:rFonts w:ascii="Times New Roman" w:hAnsi="Times New Roman" w:cs="Times New Roman"/>
          <w:sz w:val="24"/>
          <w:szCs w:val="24"/>
        </w:rPr>
      </w:pPr>
    </w:p>
    <w:p w:rsidR="00607D5E" w:rsidRPr="00B2557E" w:rsidRDefault="00607D5E" w:rsidP="00897901">
      <w:pPr>
        <w:spacing w:after="0" w:line="480" w:lineRule="auto"/>
        <w:ind w:firstLine="720"/>
        <w:rPr>
          <w:rFonts w:ascii="Times New Roman" w:hAnsi="Times New Roman" w:cs="Times New Roman"/>
          <w:sz w:val="24"/>
          <w:szCs w:val="24"/>
        </w:rPr>
      </w:pPr>
    </w:p>
    <w:sectPr w:rsidR="00607D5E" w:rsidRPr="00B2557E" w:rsidSect="00607D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88D" w:rsidRDefault="00A4788D" w:rsidP="00607D5E">
      <w:pPr>
        <w:spacing w:after="0" w:line="240" w:lineRule="auto"/>
      </w:pPr>
      <w:r>
        <w:separator/>
      </w:r>
    </w:p>
  </w:endnote>
  <w:endnote w:type="continuationSeparator" w:id="0">
    <w:p w:rsidR="00A4788D" w:rsidRDefault="00A4788D" w:rsidP="00607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88D" w:rsidRDefault="00A4788D" w:rsidP="00607D5E">
      <w:pPr>
        <w:spacing w:after="0" w:line="240" w:lineRule="auto"/>
      </w:pPr>
      <w:r>
        <w:separator/>
      </w:r>
    </w:p>
  </w:footnote>
  <w:footnote w:type="continuationSeparator" w:id="0">
    <w:p w:rsidR="00A4788D" w:rsidRDefault="00A4788D" w:rsidP="00607D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97585674"/>
      <w:docPartObj>
        <w:docPartGallery w:val="Page Numbers (Top of Page)"/>
        <w:docPartUnique/>
      </w:docPartObj>
    </w:sdtPr>
    <w:sdtEndPr>
      <w:rPr>
        <w:noProof/>
      </w:rPr>
    </w:sdtEndPr>
    <w:sdtContent>
      <w:p w:rsidR="00607D5E" w:rsidRPr="00607D5E" w:rsidRDefault="00607D5E">
        <w:pPr>
          <w:pStyle w:val="Header"/>
          <w:rPr>
            <w:rFonts w:ascii="Times New Roman" w:hAnsi="Times New Roman" w:cs="Times New Roman"/>
            <w:sz w:val="24"/>
            <w:szCs w:val="24"/>
          </w:rPr>
        </w:pPr>
        <w:r w:rsidRPr="00607D5E">
          <w:rPr>
            <w:rFonts w:ascii="Times New Roman" w:hAnsi="Times New Roman" w:cs="Times New Roman"/>
            <w:sz w:val="24"/>
            <w:szCs w:val="24"/>
          </w:rPr>
          <w:t>Finance discussion</w:t>
        </w:r>
        <w:r>
          <w:rPr>
            <w:rFonts w:ascii="Times New Roman" w:hAnsi="Times New Roman" w:cs="Times New Roman"/>
            <w:sz w:val="24"/>
            <w:szCs w:val="24"/>
          </w:rPr>
          <w:t xml:space="preserve">                                                                                                                           </w:t>
        </w:r>
        <w:r w:rsidRPr="00607D5E">
          <w:rPr>
            <w:rFonts w:ascii="Times New Roman" w:hAnsi="Times New Roman" w:cs="Times New Roman"/>
            <w:sz w:val="24"/>
            <w:szCs w:val="24"/>
          </w:rPr>
          <w:fldChar w:fldCharType="begin"/>
        </w:r>
        <w:r w:rsidRPr="00607D5E">
          <w:rPr>
            <w:rFonts w:ascii="Times New Roman" w:hAnsi="Times New Roman" w:cs="Times New Roman"/>
            <w:sz w:val="24"/>
            <w:szCs w:val="24"/>
          </w:rPr>
          <w:instrText xml:space="preserve"> PAGE   \* MERGEFORMAT </w:instrText>
        </w:r>
        <w:r w:rsidRPr="00607D5E">
          <w:rPr>
            <w:rFonts w:ascii="Times New Roman" w:hAnsi="Times New Roman" w:cs="Times New Roman"/>
            <w:sz w:val="24"/>
            <w:szCs w:val="24"/>
          </w:rPr>
          <w:fldChar w:fldCharType="separate"/>
        </w:r>
        <w:r w:rsidR="00897901">
          <w:rPr>
            <w:rFonts w:ascii="Times New Roman" w:hAnsi="Times New Roman" w:cs="Times New Roman"/>
            <w:noProof/>
            <w:sz w:val="24"/>
            <w:szCs w:val="24"/>
          </w:rPr>
          <w:t>4</w:t>
        </w:r>
        <w:r w:rsidRPr="00607D5E">
          <w:rPr>
            <w:rFonts w:ascii="Times New Roman" w:hAnsi="Times New Roman" w:cs="Times New Roman"/>
            <w:noProof/>
            <w:sz w:val="24"/>
            <w:szCs w:val="24"/>
          </w:rPr>
          <w:fldChar w:fldCharType="end"/>
        </w:r>
      </w:p>
    </w:sdtContent>
  </w:sdt>
  <w:p w:rsidR="00607D5E" w:rsidRDefault="00607D5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5603767"/>
      <w:docPartObj>
        <w:docPartGallery w:val="Page Numbers (Top of Page)"/>
        <w:docPartUnique/>
      </w:docPartObj>
    </w:sdtPr>
    <w:sdtEndPr>
      <w:rPr>
        <w:noProof/>
      </w:rPr>
    </w:sdtEndPr>
    <w:sdtContent>
      <w:p w:rsidR="00607D5E" w:rsidRPr="00607D5E" w:rsidRDefault="00897901" w:rsidP="00607D5E">
        <w:pPr>
          <w:pStyle w:val="Header"/>
          <w:rPr>
            <w:rFonts w:ascii="Times New Roman" w:hAnsi="Times New Roman" w:cs="Times New Roman"/>
            <w:sz w:val="24"/>
            <w:szCs w:val="24"/>
          </w:rPr>
        </w:pPr>
        <w:r>
          <w:rPr>
            <w:rFonts w:ascii="Times New Roman" w:hAnsi="Times New Roman" w:cs="Times New Roman"/>
            <w:sz w:val="24"/>
            <w:szCs w:val="24"/>
          </w:rPr>
          <w:t>Running h</w:t>
        </w:r>
        <w:r w:rsidR="00607D5E">
          <w:rPr>
            <w:rFonts w:ascii="Times New Roman" w:hAnsi="Times New Roman" w:cs="Times New Roman"/>
            <w:sz w:val="24"/>
            <w:szCs w:val="24"/>
          </w:rPr>
          <w:t xml:space="preserve">ead: </w:t>
        </w:r>
        <w:r w:rsidR="00607D5E" w:rsidRPr="00607D5E">
          <w:rPr>
            <w:rFonts w:ascii="Times New Roman" w:hAnsi="Times New Roman" w:cs="Times New Roman"/>
            <w:sz w:val="24"/>
            <w:szCs w:val="24"/>
          </w:rPr>
          <w:t>FINANCE DISCUSSION</w:t>
        </w:r>
        <w:r w:rsidR="00607D5E">
          <w:rPr>
            <w:rFonts w:ascii="Times New Roman" w:hAnsi="Times New Roman" w:cs="Times New Roman"/>
            <w:sz w:val="24"/>
            <w:szCs w:val="24"/>
          </w:rPr>
          <w:t xml:space="preserve">                                                                                      </w:t>
        </w:r>
        <w:r w:rsidR="00607D5E" w:rsidRPr="00607D5E">
          <w:rPr>
            <w:rFonts w:ascii="Times New Roman" w:hAnsi="Times New Roman" w:cs="Times New Roman"/>
            <w:sz w:val="24"/>
            <w:szCs w:val="24"/>
          </w:rPr>
          <w:fldChar w:fldCharType="begin"/>
        </w:r>
        <w:r w:rsidR="00607D5E" w:rsidRPr="00607D5E">
          <w:rPr>
            <w:rFonts w:ascii="Times New Roman" w:hAnsi="Times New Roman" w:cs="Times New Roman"/>
            <w:sz w:val="24"/>
            <w:szCs w:val="24"/>
          </w:rPr>
          <w:instrText xml:space="preserve"> PAGE   \* MERGEFORMAT </w:instrText>
        </w:r>
        <w:r w:rsidR="00607D5E" w:rsidRPr="00607D5E">
          <w:rPr>
            <w:rFonts w:ascii="Times New Roman" w:hAnsi="Times New Roman" w:cs="Times New Roman"/>
            <w:sz w:val="24"/>
            <w:szCs w:val="24"/>
          </w:rPr>
          <w:fldChar w:fldCharType="separate"/>
        </w:r>
        <w:r>
          <w:rPr>
            <w:rFonts w:ascii="Times New Roman" w:hAnsi="Times New Roman" w:cs="Times New Roman"/>
            <w:noProof/>
            <w:sz w:val="24"/>
            <w:szCs w:val="24"/>
          </w:rPr>
          <w:t>1</w:t>
        </w:r>
        <w:r w:rsidR="00607D5E" w:rsidRPr="00607D5E">
          <w:rPr>
            <w:rFonts w:ascii="Times New Roman" w:hAnsi="Times New Roman" w:cs="Times New Roman"/>
            <w:noProof/>
            <w:sz w:val="24"/>
            <w:szCs w:val="24"/>
          </w:rPr>
          <w:fldChar w:fldCharType="end"/>
        </w:r>
      </w:p>
    </w:sdtContent>
  </w:sdt>
  <w:p w:rsidR="00607D5E" w:rsidRDefault="00607D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CBF"/>
    <w:rsid w:val="00287672"/>
    <w:rsid w:val="00350B20"/>
    <w:rsid w:val="005A3C0C"/>
    <w:rsid w:val="005C0373"/>
    <w:rsid w:val="00607D5E"/>
    <w:rsid w:val="00786953"/>
    <w:rsid w:val="007E58D9"/>
    <w:rsid w:val="00812B87"/>
    <w:rsid w:val="00842CBF"/>
    <w:rsid w:val="00897901"/>
    <w:rsid w:val="00A4788D"/>
    <w:rsid w:val="00B2557E"/>
    <w:rsid w:val="00BD2C3A"/>
    <w:rsid w:val="00CB6409"/>
    <w:rsid w:val="00E61027"/>
    <w:rsid w:val="00F1115D"/>
    <w:rsid w:val="00F81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A2D319"/>
  <w15:chartTrackingRefBased/>
  <w15:docId w15:val="{58A2FB49-FAE5-4368-88DB-5758A7978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7D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D5E"/>
  </w:style>
  <w:style w:type="paragraph" w:styleId="Footer">
    <w:name w:val="footer"/>
    <w:basedOn w:val="Normal"/>
    <w:link w:val="FooterChar"/>
    <w:uiPriority w:val="99"/>
    <w:unhideWhenUsed/>
    <w:rsid w:val="00607D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D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475359">
      <w:bodyDiv w:val="1"/>
      <w:marLeft w:val="0"/>
      <w:marRight w:val="0"/>
      <w:marTop w:val="0"/>
      <w:marBottom w:val="0"/>
      <w:divBdr>
        <w:top w:val="none" w:sz="0" w:space="0" w:color="auto"/>
        <w:left w:val="none" w:sz="0" w:space="0" w:color="auto"/>
        <w:bottom w:val="none" w:sz="0" w:space="0" w:color="auto"/>
        <w:right w:val="none" w:sz="0" w:space="0" w:color="auto"/>
      </w:divBdr>
      <w:divsChild>
        <w:div w:id="10866142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2019-04-04T19:27:00Z</dcterms:created>
  <dcterms:modified xsi:type="dcterms:W3CDTF">2019-04-04T19:27:00Z</dcterms:modified>
</cp:coreProperties>
</file>